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DC326" w14:textId="77777777" w:rsidR="00060185" w:rsidRDefault="00060185" w:rsidP="002266D1">
      <w:pPr>
        <w:widowControl w:val="0"/>
        <w:autoSpaceDE w:val="0"/>
        <w:autoSpaceDN w:val="0"/>
        <w:adjustRightInd w:val="0"/>
        <w:spacing w:before="113" w:after="0" w:line="240" w:lineRule="auto"/>
        <w:jc w:val="center"/>
        <w:rPr>
          <w:rFonts w:ascii="Times" w:hAnsi="Times" w:cs="Times"/>
          <w:sz w:val="24"/>
          <w:szCs w:val="24"/>
        </w:rPr>
      </w:pPr>
      <w:r>
        <w:rPr>
          <w:rFonts w:ascii="Arial" w:hAnsi="Arial" w:cs="Arial"/>
          <w:b/>
          <w:bCs/>
          <w:color w:val="000000"/>
          <w:sz w:val="20"/>
          <w:szCs w:val="20"/>
        </w:rPr>
        <w:t>Министерство труда и социальной защиты Российской Федерации</w:t>
      </w:r>
    </w:p>
    <w:p w14:paraId="21848749" w14:textId="77777777" w:rsidR="00060185" w:rsidRDefault="00060185" w:rsidP="002266D1">
      <w:pPr>
        <w:widowControl w:val="0"/>
        <w:autoSpaceDE w:val="0"/>
        <w:autoSpaceDN w:val="0"/>
        <w:adjustRightInd w:val="0"/>
        <w:spacing w:before="300" w:after="0" w:line="240" w:lineRule="auto"/>
        <w:jc w:val="center"/>
        <w:rPr>
          <w:rFonts w:ascii="Times" w:hAnsi="Times" w:cs="Times"/>
          <w:sz w:val="24"/>
          <w:szCs w:val="24"/>
        </w:rPr>
      </w:pPr>
      <w:r>
        <w:rPr>
          <w:rFonts w:ascii="Arial" w:hAnsi="Arial" w:cs="Arial"/>
          <w:b/>
          <w:bCs/>
          <w:color w:val="000000"/>
          <w:sz w:val="20"/>
          <w:szCs w:val="20"/>
        </w:rPr>
        <w:t>Информация</w:t>
      </w:r>
    </w:p>
    <w:p w14:paraId="7446C65F" w14:textId="77777777" w:rsidR="00060185" w:rsidRDefault="00060185" w:rsidP="002266D1">
      <w:pPr>
        <w:widowControl w:val="0"/>
        <w:autoSpaceDE w:val="0"/>
        <w:autoSpaceDN w:val="0"/>
        <w:adjustRightInd w:val="0"/>
        <w:spacing w:before="300" w:after="0" w:line="240" w:lineRule="auto"/>
        <w:jc w:val="center"/>
        <w:rPr>
          <w:rFonts w:ascii="Times" w:hAnsi="Times" w:cs="Times"/>
          <w:sz w:val="24"/>
          <w:szCs w:val="24"/>
        </w:rPr>
      </w:pPr>
      <w:r>
        <w:rPr>
          <w:rFonts w:ascii="Arial" w:hAnsi="Arial" w:cs="Arial"/>
          <w:b/>
          <w:bCs/>
          <w:color w:val="000000"/>
          <w:sz w:val="20"/>
          <w:szCs w:val="20"/>
        </w:rPr>
        <w:t>от 19 февраля 2013 года</w:t>
      </w:r>
    </w:p>
    <w:p w14:paraId="5A3515F5" w14:textId="77777777" w:rsidR="00060185" w:rsidRDefault="00060185" w:rsidP="002266D1">
      <w:pPr>
        <w:widowControl w:val="0"/>
        <w:autoSpaceDE w:val="0"/>
        <w:autoSpaceDN w:val="0"/>
        <w:adjustRightInd w:val="0"/>
        <w:spacing w:before="300" w:after="0" w:line="240" w:lineRule="auto"/>
        <w:jc w:val="center"/>
        <w:rPr>
          <w:rFonts w:ascii="Times" w:hAnsi="Times" w:cs="Times"/>
          <w:sz w:val="24"/>
          <w:szCs w:val="24"/>
        </w:rPr>
      </w:pPr>
      <w:r>
        <w:rPr>
          <w:rFonts w:ascii="Arial" w:hAnsi="Arial" w:cs="Arial"/>
          <w:b/>
          <w:bCs/>
          <w:color w:val="526373"/>
          <w:sz w:val="28"/>
          <w:szCs w:val="28"/>
        </w:rPr>
        <w:t>Обзор рекомендаций по осуществлению комплекса организационных, разъяснительных и иных мер по недопущению должностными лицами поведения,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w:t>
      </w:r>
    </w:p>
    <w:p w14:paraId="41984420" w14:textId="77777777" w:rsidR="00060185" w:rsidRDefault="00060185" w:rsidP="00060185">
      <w:pPr>
        <w:widowControl w:val="0"/>
        <w:autoSpaceDE w:val="0"/>
        <w:autoSpaceDN w:val="0"/>
        <w:adjustRightInd w:val="0"/>
        <w:spacing w:before="170" w:after="0" w:line="240" w:lineRule="auto"/>
        <w:jc w:val="center"/>
        <w:rPr>
          <w:rFonts w:ascii="Times" w:hAnsi="Times" w:cs="Times"/>
          <w:sz w:val="24"/>
          <w:szCs w:val="24"/>
        </w:rPr>
      </w:pPr>
      <w:r>
        <w:rPr>
          <w:rFonts w:ascii="Arial" w:hAnsi="Arial" w:cs="Arial"/>
          <w:b/>
          <w:bCs/>
          <w:color w:val="526373"/>
          <w:sz w:val="26"/>
          <w:szCs w:val="26"/>
        </w:rPr>
        <w:t>I. Международный опыт и действующее законодательство Российской Федерации в области противодействия коррупции, криминализации обещания дачи взятки или получения взятки, предложения дачи взятки или получения взятки</w:t>
      </w:r>
    </w:p>
    <w:p w14:paraId="097A5D97" w14:textId="77777777" w:rsidR="00060185" w:rsidRDefault="00060185" w:rsidP="00060185">
      <w:pPr>
        <w:widowControl w:val="0"/>
        <w:autoSpaceDE w:val="0"/>
        <w:autoSpaceDN w:val="0"/>
        <w:adjustRightInd w:val="0"/>
        <w:spacing w:before="170" w:after="0" w:line="240" w:lineRule="auto"/>
        <w:ind w:firstLine="709"/>
        <w:jc w:val="both"/>
        <w:rPr>
          <w:rFonts w:ascii="Times" w:hAnsi="Times" w:cs="Times"/>
          <w:sz w:val="24"/>
          <w:szCs w:val="24"/>
        </w:rPr>
      </w:pPr>
      <w:r>
        <w:rPr>
          <w:rFonts w:ascii="Arial" w:hAnsi="Arial" w:cs="Arial"/>
          <w:color w:val="000000"/>
          <w:sz w:val="20"/>
          <w:szCs w:val="20"/>
        </w:rPr>
        <w:t>Российская Федерация реализует принятые обязательства во исполнение Конвенций Организации Объединенных Наций, рекомендаций Совета Европы и других международных организаций. Сложившиеся на международном уровне антикоррупционные стандарты государственного управления распространяются на различные сферы правового регулирования, одной из которых является ответственность за коррупционные правонарушения.</w:t>
      </w:r>
    </w:p>
    <w:p w14:paraId="366514CA"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Анализ международного опыта показывает, что на сегодняшний день широкое распространение получил подход, в соответствии с которым меры уголовной ответственности применяются не только за получение и дачу взятки, но и за обещание и предложение взятки, а также за просьбу о даче взятки и согласие ее принять. Соответствующие положения закреплены в "антикоррупционных" конвенциях и национальном законодательстве ряда зарубежных стран.</w:t>
      </w:r>
    </w:p>
    <w:p w14:paraId="5EDB664B"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В соответствии со статьей 3 Конвенции Совета Европы об уголовной ответственности за коррупцию от 27 января 1999 г. признается в качестве уголовного правонарушения преднамеренное испрашивание публичным должностным лицом какого-либо неправомерного преимущества для самого этого лица или любого иного лица, или же принятие предложения или обещание такого преимущества, с тем, чтобы это должностное лицо совершило действия или воздержалось от их совершения при осуществлении своих функций.</w:t>
      </w:r>
    </w:p>
    <w:p w14:paraId="21F02E14"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В Российской Федерации положения, устанавливающие ответственность за обещание или согласие принять взятку или незаконное вознаграждение, в законодательстве не предусматриваются.</w:t>
      </w:r>
    </w:p>
    <w:p w14:paraId="16247F26"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Вместе с тем, Федеральным законом от 4 мая 2011 г. № 97-ФЗ "О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 (далее - Федеральный закон № 97-ФЗ) внесены изменения, направленные на решение концептуальных проблем в области борьбы с коррупцией.</w:t>
      </w:r>
    </w:p>
    <w:p w14:paraId="112E8C08"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 xml:space="preserve">Изменения, внесенные в Уголовный </w:t>
      </w:r>
      <w:hyperlink r:id="rId6" w:history="1">
        <w:r>
          <w:rPr>
            <w:rFonts w:ascii="Arial" w:hAnsi="Arial" w:cs="Arial"/>
            <w:color w:val="0000FF"/>
            <w:sz w:val="20"/>
            <w:szCs w:val="20"/>
            <w:u w:val="single" w:color="0000FF"/>
          </w:rPr>
          <w:t>кодекс</w:t>
        </w:r>
      </w:hyperlink>
      <w:r>
        <w:rPr>
          <w:rFonts w:ascii="Arial" w:hAnsi="Arial" w:cs="Arial"/>
          <w:color w:val="000000"/>
          <w:sz w:val="20"/>
          <w:szCs w:val="20"/>
        </w:rPr>
        <w:t xml:space="preserve"> Российской Федерации (далее - УК РФ), вступившие в силу 17 мая 2011 г., предусматривают, что за коммерческий подкуп, дачу взятки, получение взятки и посредничество во взяточничестве устанавливаются штрафы в размере до 100-кратной суммы коммерческого подкупа или взятки, но не более 500 миллионов рублей, что является основным видом санкции за преступления коррупционной направленности.</w:t>
      </w:r>
    </w:p>
    <w:p w14:paraId="41BEBD5D"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 xml:space="preserve">Также </w:t>
      </w:r>
      <w:hyperlink r:id="rId7" w:history="1">
        <w:r>
          <w:rPr>
            <w:rFonts w:ascii="Arial" w:hAnsi="Arial" w:cs="Arial"/>
            <w:color w:val="0000FF"/>
            <w:sz w:val="20"/>
            <w:szCs w:val="20"/>
            <w:u w:val="single" w:color="0000FF"/>
          </w:rPr>
          <w:t>УК РФ</w:t>
        </w:r>
      </w:hyperlink>
      <w:r>
        <w:rPr>
          <w:rFonts w:ascii="Arial" w:hAnsi="Arial" w:cs="Arial"/>
          <w:color w:val="000000"/>
          <w:sz w:val="20"/>
          <w:szCs w:val="20"/>
        </w:rPr>
        <w:t xml:space="preserve"> дополнен нормой, предусматривающей ответственность за посредничество во взяточничестве (</w:t>
      </w:r>
      <w:hyperlink r:id="rId8" w:history="1">
        <w:r>
          <w:rPr>
            <w:rFonts w:ascii="Arial" w:hAnsi="Arial" w:cs="Arial"/>
            <w:color w:val="0000FF"/>
            <w:sz w:val="20"/>
            <w:szCs w:val="20"/>
            <w:u w:val="single" w:color="0000FF"/>
          </w:rPr>
          <w:t>статья 291.1</w:t>
        </w:r>
      </w:hyperlink>
      <w:r>
        <w:rPr>
          <w:rFonts w:ascii="Arial" w:hAnsi="Arial" w:cs="Arial"/>
          <w:color w:val="000000"/>
          <w:sz w:val="20"/>
          <w:szCs w:val="20"/>
        </w:rPr>
        <w:t xml:space="preserve"> УК РФ). Расширено содержание предмета коммерческого подкупа и взятки за счет "предоставления иных имущественных прав". Кроме того, статьи </w:t>
      </w:r>
      <w:hyperlink r:id="rId9" w:history="1">
        <w:r>
          <w:rPr>
            <w:rFonts w:ascii="Arial" w:hAnsi="Arial" w:cs="Arial"/>
            <w:color w:val="0000FF"/>
            <w:sz w:val="20"/>
            <w:szCs w:val="20"/>
            <w:u w:val="single" w:color="0000FF"/>
          </w:rPr>
          <w:t>204</w:t>
        </w:r>
      </w:hyperlink>
      <w:r>
        <w:rPr>
          <w:rFonts w:ascii="Arial" w:hAnsi="Arial" w:cs="Arial"/>
          <w:color w:val="000000"/>
          <w:sz w:val="20"/>
          <w:szCs w:val="20"/>
        </w:rPr>
        <w:t xml:space="preserve">, </w:t>
      </w:r>
      <w:hyperlink r:id="rId10" w:history="1">
        <w:r>
          <w:rPr>
            <w:rFonts w:ascii="Arial" w:hAnsi="Arial" w:cs="Arial"/>
            <w:color w:val="0000FF"/>
            <w:sz w:val="20"/>
            <w:szCs w:val="20"/>
            <w:u w:val="single" w:color="0000FF"/>
          </w:rPr>
          <w:t>290</w:t>
        </w:r>
      </w:hyperlink>
      <w:r>
        <w:rPr>
          <w:rFonts w:ascii="Arial" w:hAnsi="Arial" w:cs="Arial"/>
          <w:color w:val="000000"/>
          <w:sz w:val="20"/>
          <w:szCs w:val="20"/>
        </w:rPr>
        <w:t xml:space="preserve">, </w:t>
      </w:r>
      <w:hyperlink r:id="rId11" w:history="1">
        <w:r>
          <w:rPr>
            <w:rFonts w:ascii="Arial" w:hAnsi="Arial" w:cs="Arial"/>
            <w:color w:val="0000FF"/>
            <w:sz w:val="20"/>
            <w:szCs w:val="20"/>
            <w:u w:val="single" w:color="0000FF"/>
          </w:rPr>
          <w:t>291</w:t>
        </w:r>
      </w:hyperlink>
      <w:r>
        <w:rPr>
          <w:rFonts w:ascii="Arial" w:hAnsi="Arial" w:cs="Arial"/>
          <w:color w:val="000000"/>
          <w:sz w:val="20"/>
          <w:szCs w:val="20"/>
        </w:rPr>
        <w:t xml:space="preserve"> УК РФ дополнены новыми отягчающими обстоятельствами, в большей мере дифференцирована ответственность в зависимости от размера взятки. Сумма взятки, как правило, пропорциональна значимости используемых полномочий и характеру принимаемого решения.</w:t>
      </w:r>
    </w:p>
    <w:p w14:paraId="4D7363F0"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 xml:space="preserve">Изменения в примечании к </w:t>
      </w:r>
      <w:hyperlink r:id="rId12" w:history="1">
        <w:r>
          <w:rPr>
            <w:rFonts w:ascii="Arial" w:hAnsi="Arial" w:cs="Arial"/>
            <w:color w:val="0000FF"/>
            <w:sz w:val="20"/>
            <w:szCs w:val="20"/>
            <w:u w:val="single" w:color="0000FF"/>
          </w:rPr>
          <w:t>статье 291</w:t>
        </w:r>
      </w:hyperlink>
      <w:r>
        <w:rPr>
          <w:rFonts w:ascii="Arial" w:hAnsi="Arial" w:cs="Arial"/>
          <w:color w:val="000000"/>
          <w:sz w:val="20"/>
          <w:szCs w:val="20"/>
        </w:rPr>
        <w:t xml:space="preserve"> УК РФ расширили перечень обстоятельств, требующих освобождения взяткодателей от уголовной ответственности. Лицо может быть освобождено от ответственности, "если оно активно способствовало раскрытию и (или) расследованию преступления".</w:t>
      </w:r>
    </w:p>
    <w:p w14:paraId="5ECDCF25"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 xml:space="preserve">Установлена новая </w:t>
      </w:r>
      <w:hyperlink r:id="rId13" w:history="1">
        <w:r>
          <w:rPr>
            <w:rFonts w:ascii="Arial" w:hAnsi="Arial" w:cs="Arial"/>
            <w:color w:val="0000FF"/>
            <w:sz w:val="20"/>
            <w:szCs w:val="20"/>
            <w:u w:val="single" w:color="0000FF"/>
          </w:rPr>
          <w:t>статья 291.1</w:t>
        </w:r>
      </w:hyperlink>
      <w:r>
        <w:rPr>
          <w:rFonts w:ascii="Arial" w:hAnsi="Arial" w:cs="Arial"/>
          <w:color w:val="000000"/>
          <w:sz w:val="20"/>
          <w:szCs w:val="20"/>
        </w:rPr>
        <w:t xml:space="preserve"> УК РФ "Посредничество во взяточничестве". Помимо непосредственной передачи взятки посредничество может представлять собой способствование достижению соглашения между взяткодателем и (или) взяткополучателем либо в реализации такого соглашения.</w:t>
      </w:r>
    </w:p>
    <w:p w14:paraId="189099EE"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 xml:space="preserve">В части 5 </w:t>
      </w:r>
      <w:hyperlink r:id="rId14" w:history="1">
        <w:r>
          <w:rPr>
            <w:rFonts w:ascii="Arial" w:hAnsi="Arial" w:cs="Arial"/>
            <w:color w:val="0000FF"/>
            <w:sz w:val="20"/>
            <w:szCs w:val="20"/>
            <w:u w:val="single" w:color="0000FF"/>
          </w:rPr>
          <w:t>статьи 291.1</w:t>
        </w:r>
      </w:hyperlink>
      <w:r>
        <w:rPr>
          <w:rFonts w:ascii="Arial" w:hAnsi="Arial" w:cs="Arial"/>
          <w:color w:val="000000"/>
          <w:sz w:val="20"/>
          <w:szCs w:val="20"/>
        </w:rPr>
        <w:t xml:space="preserve"> УК РФ предусматривается ответственность за обещание или предложение посредничества во взяточничестве. Санкции, предусмотренные пятой и первой частями </w:t>
      </w:r>
      <w:hyperlink r:id="rId15" w:history="1">
        <w:r>
          <w:rPr>
            <w:rFonts w:ascii="Arial" w:hAnsi="Arial" w:cs="Arial"/>
            <w:color w:val="0000FF"/>
            <w:sz w:val="20"/>
            <w:szCs w:val="20"/>
            <w:u w:val="single" w:color="0000FF"/>
          </w:rPr>
          <w:t>статьи 291.1</w:t>
        </w:r>
      </w:hyperlink>
      <w:r>
        <w:rPr>
          <w:rFonts w:ascii="Arial" w:hAnsi="Arial" w:cs="Arial"/>
          <w:color w:val="000000"/>
          <w:sz w:val="20"/>
          <w:szCs w:val="20"/>
        </w:rPr>
        <w:t xml:space="preserve"> УК РФ, показывают, что обещание или предложение посредничества законодательством признаются более опасными, нежели собственно посредничество.</w:t>
      </w:r>
    </w:p>
    <w:p w14:paraId="7E6E10FB"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 xml:space="preserve">Для повышения эффективности административной ответственности, применяемой в отношении юридических лиц за причастность к коррупции, также внесены изменения в </w:t>
      </w:r>
      <w:hyperlink r:id="rId16" w:history="1">
        <w:r>
          <w:rPr>
            <w:rFonts w:ascii="Arial" w:hAnsi="Arial" w:cs="Arial"/>
            <w:color w:val="0000FF"/>
            <w:sz w:val="20"/>
            <w:szCs w:val="20"/>
            <w:u w:val="single" w:color="0000FF"/>
          </w:rPr>
          <w:t>Кодекс</w:t>
        </w:r>
      </w:hyperlink>
      <w:r>
        <w:rPr>
          <w:rFonts w:ascii="Arial" w:hAnsi="Arial" w:cs="Arial"/>
          <w:color w:val="000000"/>
          <w:sz w:val="20"/>
          <w:szCs w:val="20"/>
        </w:rPr>
        <w:t xml:space="preserve"> Российской Федерации об административных правонарушениях (далее - КоАП РФ).</w:t>
      </w:r>
    </w:p>
    <w:p w14:paraId="5F8E5F00"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 xml:space="preserve">Так, в частности, Федеральным законом № 97-ФЗ введена </w:t>
      </w:r>
      <w:hyperlink r:id="rId17" w:history="1">
        <w:r>
          <w:rPr>
            <w:rFonts w:ascii="Arial" w:hAnsi="Arial" w:cs="Arial"/>
            <w:color w:val="0000FF"/>
            <w:sz w:val="20"/>
            <w:szCs w:val="20"/>
            <w:u w:val="single" w:color="0000FF"/>
          </w:rPr>
          <w:t>статья 19.28</w:t>
        </w:r>
      </w:hyperlink>
      <w:r>
        <w:rPr>
          <w:rFonts w:ascii="Arial" w:hAnsi="Arial" w:cs="Arial"/>
          <w:color w:val="000000"/>
          <w:sz w:val="20"/>
          <w:szCs w:val="20"/>
        </w:rPr>
        <w:t xml:space="preserve"> КоАП РФ, устанавливающая административную ответственность за незаконную передачу,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(бездействия), связанного с занимаемым ими служебным положением.</w:t>
      </w:r>
    </w:p>
    <w:p w14:paraId="73DF598A"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Несмотря на то, что уголовная ответственность за обещание взятки и согласие ее принять в настоящий момент не установлена, подобное поведение является неприемлемым для государственных служащих, поскольку заставляет усомниться в его объективности и добросовестности, а также наносит ущерб репутации системы государственного управления.</w:t>
      </w:r>
    </w:p>
    <w:p w14:paraId="5A7AFB77"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Для предупреждения подобных негативных последствий лицам, замещающим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(далее - служащие и работники), следует уделять внимание манере своего общения с коллегами, представителями организаций, иными гражданами и, в частности воздерживаться от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p w14:paraId="3B0DF9A5"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 xml:space="preserve">В соответствии с Федеральным законом от 25 декабря 2008 г. </w:t>
      </w:r>
      <w:hyperlink r:id="rId18" w:history="1">
        <w:r>
          <w:rPr>
            <w:rFonts w:ascii="Arial" w:hAnsi="Arial" w:cs="Arial"/>
            <w:color w:val="0000FF"/>
            <w:sz w:val="20"/>
            <w:szCs w:val="20"/>
            <w:u w:val="single" w:color="0000FF"/>
          </w:rPr>
          <w:t>№ 273-ФЗ</w:t>
        </w:r>
      </w:hyperlink>
      <w:r>
        <w:rPr>
          <w:rFonts w:ascii="Arial" w:hAnsi="Arial" w:cs="Arial"/>
          <w:color w:val="000000"/>
          <w:sz w:val="20"/>
          <w:szCs w:val="20"/>
        </w:rPr>
        <w:t xml:space="preserve"> "О противодействии коррупции" одним из основных принципов противодействия коррупции названа приоритетность мер по ее профилактике.</w:t>
      </w:r>
    </w:p>
    <w:p w14:paraId="222EFA9F"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Особая роль в организации работы по данному направлению отводится подразделениям или должностным лицам, ответственным за профилактику коррупционных и иных правонарушений в органах государственной власти, местного самоуправления и организациях. В целях методической поддержки их деятельности подготовлен комплекс организационных, разъяснительных и иных мер по недопущению служащими и работниками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 (далее - комплекс мер).</w:t>
      </w:r>
    </w:p>
    <w:p w14:paraId="7F516AC4"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Мероприятия, включенные в комплекс мер, рекомендуется осуществлять по следующим направлениям:</w:t>
      </w:r>
    </w:p>
    <w:p w14:paraId="7179EC91"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1) информирование служащих и работников об установленных действующим законодательством Российской Федерации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w:t>
      </w:r>
    </w:p>
    <w:p w14:paraId="6D75712E"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2) разъяснение служащим и работникам порядка соблюдения ограничений и запретов, требований о предотвращении или об урегулировании конфликта интересов, обязанности об уведомлении представителя нанимателя (работодателя) об обращениях в целях склонения к совершению коррупционных правонарушений, иных обязанностей, установленных в целях противодействия коррупции;</w:t>
      </w:r>
    </w:p>
    <w:p w14:paraId="4D83F150"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3) закрепление в локальных правовых актах этических норм поведения служащих и работников, процедур и форм соблюдения служащими и работниками ограничений, запретов и обязанностей, установленных законодательством о противодействии коррупции;</w:t>
      </w:r>
    </w:p>
    <w:p w14:paraId="59CD70CA"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4) обеспечение открытости деятельности органов государственной власти, местного самоуправления, государственных внебюджетных фондов и иных организаций, включая внедрение мер общественного контроля.</w:t>
      </w:r>
    </w:p>
    <w:p w14:paraId="396CD059"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Основными задачами осуществления комплекса мер являются:</w:t>
      </w:r>
    </w:p>
    <w:p w14:paraId="1E81AD71"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а) формирование в органе государственной власти, местного самоуправления, государственном внебюджетном фонде, организации негативного отношения к поведению служащих, работников, которое может восприниматься окружающими как обещание или предложение дачи взятки либо как согласие принять взятку или как просьба о даче взятки;</w:t>
      </w:r>
    </w:p>
    <w:p w14:paraId="6FE789FC"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б) организация исполнения нормативных правовых актов и управленческих решений в области противодействия коррупции, создание условий, затрудняющих возможность коррупционного поведения и обеспечивающих снижение уровня коррупции;</w:t>
      </w:r>
    </w:p>
    <w:p w14:paraId="20A582C2"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в) обеспечение выполнения служащими, работниками, юридическими и физическими лицами норм антикоррупционного поведения, включая применение в необходимых случаях мер принуждения в соответствии с законодательными актами Российской Федерации.</w:t>
      </w:r>
    </w:p>
    <w:p w14:paraId="089609D9" w14:textId="77777777" w:rsidR="00060185" w:rsidRDefault="00060185" w:rsidP="00060185">
      <w:pPr>
        <w:widowControl w:val="0"/>
        <w:autoSpaceDE w:val="0"/>
        <w:autoSpaceDN w:val="0"/>
        <w:adjustRightInd w:val="0"/>
        <w:spacing w:before="170" w:after="0" w:line="240" w:lineRule="auto"/>
        <w:ind w:firstLine="709"/>
        <w:jc w:val="center"/>
        <w:rPr>
          <w:rFonts w:ascii="Times" w:hAnsi="Times" w:cs="Times"/>
          <w:sz w:val="24"/>
          <w:szCs w:val="24"/>
        </w:rPr>
      </w:pPr>
      <w:r>
        <w:rPr>
          <w:rFonts w:ascii="Arial" w:hAnsi="Arial" w:cs="Arial"/>
          <w:b/>
          <w:bCs/>
          <w:color w:val="526373"/>
          <w:sz w:val="26"/>
          <w:szCs w:val="26"/>
        </w:rPr>
        <w:t>II. Комплекс организационных, разъяснительных и иных мер по недопущению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p w14:paraId="7F04743D" w14:textId="77777777" w:rsidR="00060185" w:rsidRDefault="00060185" w:rsidP="00060185">
      <w:pPr>
        <w:widowControl w:val="0"/>
        <w:autoSpaceDE w:val="0"/>
        <w:autoSpaceDN w:val="0"/>
        <w:adjustRightInd w:val="0"/>
        <w:spacing w:before="170" w:after="0" w:line="240" w:lineRule="auto"/>
        <w:ind w:firstLine="709"/>
        <w:jc w:val="both"/>
        <w:rPr>
          <w:rFonts w:ascii="Times" w:hAnsi="Times" w:cs="Times"/>
          <w:sz w:val="24"/>
          <w:szCs w:val="24"/>
        </w:rPr>
      </w:pPr>
      <w:r>
        <w:rPr>
          <w:rFonts w:ascii="Arial" w:hAnsi="Arial" w:cs="Arial"/>
          <w:color w:val="000000"/>
          <w:sz w:val="20"/>
          <w:szCs w:val="20"/>
        </w:rPr>
        <w:t>1. Информирование служащих и работников об установленных действующим законодательством Российской Федерации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w:t>
      </w:r>
    </w:p>
    <w:p w14:paraId="68EC4104"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Реализацию данного направления рекомендуется осуществлять посредством:</w:t>
      </w:r>
    </w:p>
    <w:p w14:paraId="4A873635"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 проведения серии учебно-практических семинаров (тренингов);</w:t>
      </w:r>
    </w:p>
    <w:p w14:paraId="40375D7B"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 разработки методических рекомендаций и информационных памяток об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w:t>
      </w:r>
    </w:p>
    <w:p w14:paraId="270A0370"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1.1. В рамках серии учебно-практических семинаров является целесообразным рассмотрение следующих вопросов.</w:t>
      </w:r>
    </w:p>
    <w:p w14:paraId="4632ABAA"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1) Понятие взятки. Необходимо обратить внимание служащих и работников на то, что в соответствии с действующим законодательством предметом взятки считаются не только деньги или имущество, но и выгоды или услуги имущественного характера. Под выгодами имущественного характера следует понимать: услуги, оказываемые безвозмездно, но в обычной жизни подлежащие оплате, например предоставление туристических путевок, ремонт квартиры, строительство дачи; а также занижение стоимости передаваемого имущества, приватизируемых объектов, уменьшение арендных платежей, процентных ставок за пользование банковскими ссудами, предоставление необоснованно высоких скидок и т.д. (пункт 9 Постановления Пленума Верховного Суда Российской Федерации от 10 февраля 2000 г. № 6 "О судебной практике по делам о взяточничестве и коммерческом подкупе" (далее - Постановление Пленума ВС РФ № 6)).</w:t>
      </w:r>
    </w:p>
    <w:p w14:paraId="20F079A4"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2) Возможное расширение в дальнейшем понятия взятки, в том числе отнесение к предмету взятки нематериальных преимуществ, в связи с тем, что Россия приняла на себя обязательства по внедрению таких норм перед Группой государств против коррупции (ГРЕКО).</w:t>
      </w:r>
    </w:p>
    <w:p w14:paraId="44775D19"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3) Понятие незаконного вознаграждения. Необходимо обратить внимание служащих и работников на то, что помимо понятия взятка в действующем российском законодательстве используется такое понятие как "незаконное вознаграждение от имени юридического лица".</w:t>
      </w:r>
    </w:p>
    <w:p w14:paraId="323B5DBA"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 xml:space="preserve">В соответствии со </w:t>
      </w:r>
      <w:hyperlink r:id="rId19" w:history="1">
        <w:r>
          <w:rPr>
            <w:rFonts w:ascii="Arial" w:hAnsi="Arial" w:cs="Arial"/>
            <w:color w:val="0000FF"/>
            <w:sz w:val="20"/>
            <w:szCs w:val="20"/>
            <w:u w:val="single" w:color="0000FF"/>
          </w:rPr>
          <w:t>статьей 19.28</w:t>
        </w:r>
      </w:hyperlink>
      <w:r>
        <w:rPr>
          <w:rFonts w:ascii="Arial" w:hAnsi="Arial" w:cs="Arial"/>
          <w:color w:val="000000"/>
          <w:sz w:val="20"/>
          <w:szCs w:val="20"/>
        </w:rPr>
        <w:t xml:space="preserve"> КоАП РФ об административных правонарушениях под незаконным вознаграждением от имени юридического лица понимаются незаконные передача,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действия (бездействие), связанного с занимаемым ими служебным положением.</w:t>
      </w:r>
    </w:p>
    <w:p w14:paraId="2A8773A6"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За совершение подобных действий к юридическому лицу применяются меры административной ответственности вплоть до штрафа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14:paraId="296C814C"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 xml:space="preserve">4) Понятие покушения на получение взятки. Необходимо обратить внимание служащих и работников на то, что если обусловленная передача ценностей не состоялась по обстоятельствам, не зависящим от воли лиц, пытавшихся получить предмет взятки или подкупа, содеянное следует квалифицировать как покушение на получение взятки или незаконное вознаграждение при коммерческом подкупе (пункт 11 Постановления Пленума ВС РФ № 6). При этом, за покушение на преступление предусмотрена ответственность в соответствии со </w:t>
      </w:r>
      <w:hyperlink r:id="rId20" w:history="1">
        <w:r>
          <w:rPr>
            <w:rFonts w:ascii="Arial" w:hAnsi="Arial" w:cs="Arial"/>
            <w:color w:val="0000FF"/>
            <w:sz w:val="20"/>
            <w:szCs w:val="20"/>
            <w:u w:val="single" w:color="0000FF"/>
          </w:rPr>
          <w:t>статьей 66</w:t>
        </w:r>
      </w:hyperlink>
      <w:r>
        <w:rPr>
          <w:rFonts w:ascii="Arial" w:hAnsi="Arial" w:cs="Arial"/>
          <w:color w:val="000000"/>
          <w:sz w:val="20"/>
          <w:szCs w:val="20"/>
        </w:rPr>
        <w:t xml:space="preserve"> Уголовного кодекса Российской Федерации).</w:t>
      </w:r>
    </w:p>
    <w:p w14:paraId="42A8F9DB"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5) Участие родственников в получении взятки. Необходимо указать, что, если имущественные выгоды в виде денег, иных ценностей, оказания материальных услуг предоставлены родным и близким должностного лица с его согласия либо если он не возражал против этого и использовал свои служебные полномочия в пользу взяткодателя, действия должностного лица следует квалифицировать как получение взятки.</w:t>
      </w:r>
    </w:p>
    <w:p w14:paraId="678617B4"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6) Понятие вымогательства взятки. Необходимо обратить внимание служащих и работников на то, что под вымогательством взятки понимается требование должностного лица дать взятку либо передать незаконное вознаграждение в виде денег, ценных бумаг, иного имущества под угрозой совершения действий, которые могут причинить ущерб законным интересам гражданина либо поставить последнего в такие условия, при которых он вынужден дать взятку либо совершить коммерческий подкуп с целью предотвращения вредных последствий для его правоохраняемых интересов (пункт 15 Постановления Пленума ВС РФ № 6).</w:t>
      </w:r>
    </w:p>
    <w:p w14:paraId="1E4849BB"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1.2. Также необходимо обеспечить усиление информационной (просветительской) работы органов государственной власти, местного самоуправления, государственных внебюджетных фондов и организаций по ключевым вопросам обозначенного направления.</w:t>
      </w:r>
    </w:p>
    <w:p w14:paraId="56414FA4"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Так в частности предлагается подготовить памятки для служащих и работников по следующим вопросам:</w:t>
      </w:r>
    </w:p>
    <w:p w14:paraId="22993613"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1) уголовная ответственность за получение и дачу взятки, в которой изложить вопросы применения мер уголовной ответственности за получение и дачу взятки и мер административной ответственности за незаконное вознаграждение от имени юридического лица;</w:t>
      </w:r>
    </w:p>
    <w:p w14:paraId="6ABC352A"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 xml:space="preserve">2) сборник положений нормативных правовых актов, регулирующих вопросы применения ответственности за получение и дачу взятки и незаконного вознаграждения, в том числе: статьи </w:t>
      </w:r>
      <w:hyperlink r:id="rId21" w:history="1">
        <w:r>
          <w:rPr>
            <w:rFonts w:ascii="Arial" w:hAnsi="Arial" w:cs="Arial"/>
            <w:color w:val="0000FF"/>
            <w:sz w:val="20"/>
            <w:szCs w:val="20"/>
            <w:u w:val="single" w:color="0000FF"/>
          </w:rPr>
          <w:t>290</w:t>
        </w:r>
      </w:hyperlink>
      <w:r>
        <w:rPr>
          <w:rFonts w:ascii="Arial" w:hAnsi="Arial" w:cs="Arial"/>
          <w:color w:val="000000"/>
          <w:sz w:val="20"/>
          <w:szCs w:val="20"/>
        </w:rPr>
        <w:t xml:space="preserve">, </w:t>
      </w:r>
      <w:hyperlink r:id="rId22" w:history="1">
        <w:r>
          <w:rPr>
            <w:rFonts w:ascii="Arial" w:hAnsi="Arial" w:cs="Arial"/>
            <w:color w:val="0000FF"/>
            <w:sz w:val="20"/>
            <w:szCs w:val="20"/>
            <w:u w:val="single" w:color="0000FF"/>
          </w:rPr>
          <w:t>291</w:t>
        </w:r>
      </w:hyperlink>
      <w:r>
        <w:rPr>
          <w:rFonts w:ascii="Arial" w:hAnsi="Arial" w:cs="Arial"/>
          <w:color w:val="000000"/>
          <w:sz w:val="20"/>
          <w:szCs w:val="20"/>
        </w:rPr>
        <w:t xml:space="preserve">, </w:t>
      </w:r>
      <w:hyperlink r:id="rId23" w:history="1">
        <w:r>
          <w:rPr>
            <w:rFonts w:ascii="Arial" w:hAnsi="Arial" w:cs="Arial"/>
            <w:color w:val="0000FF"/>
            <w:sz w:val="20"/>
            <w:szCs w:val="20"/>
            <w:u w:val="single" w:color="0000FF"/>
          </w:rPr>
          <w:t>291.1</w:t>
        </w:r>
      </w:hyperlink>
      <w:r>
        <w:rPr>
          <w:rFonts w:ascii="Arial" w:hAnsi="Arial" w:cs="Arial"/>
          <w:color w:val="000000"/>
          <w:sz w:val="20"/>
          <w:szCs w:val="20"/>
        </w:rPr>
        <w:t xml:space="preserve"> УК РФ; </w:t>
      </w:r>
      <w:hyperlink r:id="rId24" w:history="1">
        <w:r>
          <w:rPr>
            <w:rFonts w:ascii="Arial" w:hAnsi="Arial" w:cs="Arial"/>
            <w:color w:val="0000FF"/>
            <w:sz w:val="20"/>
            <w:szCs w:val="20"/>
            <w:u w:val="single" w:color="0000FF"/>
          </w:rPr>
          <w:t>статьи 19.28</w:t>
        </w:r>
      </w:hyperlink>
      <w:r>
        <w:rPr>
          <w:rFonts w:ascii="Arial" w:hAnsi="Arial" w:cs="Arial"/>
          <w:color w:val="000000"/>
          <w:sz w:val="20"/>
          <w:szCs w:val="20"/>
        </w:rPr>
        <w:t xml:space="preserve"> КоАП РФ; пункты 9, 11, 15 Постановления Пленума ВС РФ № 6.</w:t>
      </w:r>
    </w:p>
    <w:p w14:paraId="51508A49"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Памятки представляется целесообразным сформулировать на основе типовых жизненных ситуаций. Они должны быть краткими, написанными доступным языком без использования сложных юридических терминов. Также в памятки необходимо включить сведения для правильной оценки соответствующей жизненной ситуации (например, разъяснять, что понимается под взяткой), порядок действий в данной ситуации, ссылки на соответствующие положения нормативных правовых актов.</w:t>
      </w:r>
    </w:p>
    <w:p w14:paraId="19D6004B"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2. Разъяснение служащим и работникам порядка соблюдения ограничений и запретов, требований о предотвращении или об урегулировании конфликта интересов, обязанности об уведомлении представителя нанимателя (работодателя) об обращениях в целях склонения к совершению коррупционных правонарушений, иных обязанностей, установленных в целях противодействия коррупции.</w:t>
      </w:r>
    </w:p>
    <w:p w14:paraId="41D5F4B1"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Обеспечение информирования служащих и работников об установленных действующим законодательством о противодействии коррупции ограничениях, запретах, обязанностях и принципах служебного поведения целесообразно осуществлять применяя следующие меры.</w:t>
      </w:r>
    </w:p>
    <w:p w14:paraId="48191406"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2.1. В рамках учебных семинаров (бесед, лекций, практических занятий) следует разъяснять процедуры и формы соблюдения требований к служебному поведению, а также этические нормы поведения, которыми им надлежит руководствоваться при исполнении должностных обязанностей.</w:t>
      </w:r>
    </w:p>
    <w:p w14:paraId="05220F56"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В части организации семинаров (бесед, лекций, практических занятий) необходимо рассмотреть следующие вопросы.</w:t>
      </w:r>
    </w:p>
    <w:p w14:paraId="06B311F7"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1) Порядок уведомления служащего и работника о фактах склонения к совершению коррупционного правонарушения.</w:t>
      </w:r>
    </w:p>
    <w:p w14:paraId="1EC4DB4B"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В ходе семинара является целесообразным:</w:t>
      </w:r>
    </w:p>
    <w:p w14:paraId="011D8652"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а) напомнить служащим и работникам, что уведомление представителя нанимателя (работодателя) о склонении к коррупционным правонарушениям является их обязанностью;</w:t>
      </w:r>
    </w:p>
    <w:p w14:paraId="64B6A27F"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б) указать служащим и работникам на то, что уведомление обо всех ситуациях склонения к коррупционным правонарушениям может привести к сокращению числа случаев предложения и дачи взятки, т.к. позволяет выявить недобросовестных представителей организаций и иных граждан, взаимодействующих с государственным органом, государственным внебюджетным фондом или организацией;</w:t>
      </w:r>
    </w:p>
    <w:p w14:paraId="4D84D082"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в) разъяснить порядок направления и рассмотрения уведомления о склонении к коррупционным правонарушениям, утвержденный государственным органом, государственным внебюджетным фондом, организацией.</w:t>
      </w:r>
    </w:p>
    <w:p w14:paraId="7B3FDF85"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2) Порядок урегулирования конфликта интересов.</w:t>
      </w:r>
    </w:p>
    <w:p w14:paraId="5C6ED86B"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В ходе семинара необходимо:</w:t>
      </w:r>
    </w:p>
    <w:p w14:paraId="23715851"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а) указать служащим и работникам на то, что в целом ряде случаев совершение ими определенных действий не только приводит к возникновению конфликта интересов, но и может восприниматься окружающими как согласие принять взятку. Речь идет, в том числе, о следующих ситуациях:</w:t>
      </w:r>
    </w:p>
    <w:p w14:paraId="4E55CDED"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 служащий или работник ведет переговоры о последующем трудоустройстве с организацией, которая извлекла, извлекает или может извлечь выгоду из решений или действий (бездействия) указанных лиц;</w:t>
      </w:r>
    </w:p>
    <w:p w14:paraId="4CC9E745"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 родственники служащего или работника устраиваются на работу в организацию, которая извлекла, извлекает или может извлечь выгоду из его решений или действий (бездействия);</w:t>
      </w:r>
    </w:p>
    <w:p w14:paraId="78BA2AAA"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 родственники служащего или работника соглашаются принять подарок от организации, которая извлекла, извлекает или может извлечь выгоду из его решений или действий (бездействия) и т.д.;</w:t>
      </w:r>
    </w:p>
    <w:p w14:paraId="1903AB7B"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б) напомнить служащим и работникам, что письменное информирование представителя нанимателя (работодателя) о возникновении личной заинтересованности, которая приводит или может привести к конфликту интересов, является их обязанностью;</w:t>
      </w:r>
    </w:p>
    <w:p w14:paraId="3CD63A91"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в) обсудить со служащими и работниками типовые ситуации конфликта интересов и порядок уведомления о возникновении личной заинтересованности.</w:t>
      </w:r>
    </w:p>
    <w:p w14:paraId="01919EF4"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3) Действия и высказывания, которые могут быть восприняты окружающими как согласие принять взятку или как просьба о даче взятки.</w:t>
      </w:r>
    </w:p>
    <w:p w14:paraId="4A8B94B0"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В ходе семинара является целесообразным, в частности:</w:t>
      </w:r>
    </w:p>
    <w:p w14:paraId="67D3F78E"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а) обсудить со служащими и работниками слова, выражения и жесты, которые могут быть восприняты окружающими как просьба (намек) о даче взятки и указать на необходимость воздерживаться от употребления подобных выражений при взаимодействии с гражданами.</w:t>
      </w:r>
    </w:p>
    <w:p w14:paraId="49CD032A"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К числу таких выражений относятся, например: "вопрос решить трудно, но можно", "спасибо на хлеб не намажешь", "договоримся", "нужны более веские аргументы", "нужно обсудить параметры", "ну что делать будем?" и т.д.;</w:t>
      </w:r>
    </w:p>
    <w:p w14:paraId="58FF3068"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б) указать служащим и работникам на то, что обсуждение определенных тем с представителями организаций и гражданами, особенно с теми из них, чья выгода зависит от решений и действий служащих и работников, может восприниматься как просьба о даче взятки.</w:t>
      </w:r>
    </w:p>
    <w:p w14:paraId="50F0F0EE"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К числу таких тем относятся, например:</w:t>
      </w:r>
    </w:p>
    <w:p w14:paraId="4657AA8F"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 низкий уровень заработной платы служащего, работника и нехватка денежных средств на реализацию тех или иных нужд;</w:t>
      </w:r>
    </w:p>
    <w:p w14:paraId="2C371075"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 желание приобрести то или иное имущество, получить ту или иную услугу, отправиться в туристическую поездку;</w:t>
      </w:r>
    </w:p>
    <w:p w14:paraId="577F308B"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 отсутствие работы у родственников служащего, работника;</w:t>
      </w:r>
    </w:p>
    <w:p w14:paraId="45762EBF"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 необходимость поступления детей служащего, работника в образовательные учреждения и т.д.;</w:t>
      </w:r>
    </w:p>
    <w:p w14:paraId="61EC1E97"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в) указать служащим и работникам, что определенные исходящие от них предложения, особенно если они сделаны представителям организаций и гражданам, чья выгода зависит от их решений и действий, могут восприниматься как просьба о даче взятки.</w:t>
      </w:r>
    </w:p>
    <w:p w14:paraId="3A5E7274"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Это возможно даже в том случае, когда такие предложения продиктованы благими намерениями и никак не связаны с личной выгодой государственного служащего, работника.</w:t>
      </w:r>
    </w:p>
    <w:p w14:paraId="54599FAF"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К числу таких предложений относятся, например предложения:</w:t>
      </w:r>
    </w:p>
    <w:p w14:paraId="0D4FEAB9"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 предоставить служащему, работнику и/или его родственникам скидку;</w:t>
      </w:r>
    </w:p>
    <w:p w14:paraId="4DEC6F22"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 воспользоваться услугами конкретной компании и (или) экспертов для устранения выявленных нарушений, выполнения работ в рамках государственного контракта, подготовки необходимых документов;</w:t>
      </w:r>
    </w:p>
    <w:p w14:paraId="02704079"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 внести деньги в конкретный благотворительный фонд;</w:t>
      </w:r>
    </w:p>
    <w:p w14:paraId="2766229F"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 поддержать конкретную спортивную команду и т.д.;</w:t>
      </w:r>
    </w:p>
    <w:p w14:paraId="144AFE3D"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г) разъяснить служащим и работникам, что совершение ими определенных действий может восприниматься как согласие принять взятку или просьба о даче взятки.</w:t>
      </w:r>
    </w:p>
    <w:p w14:paraId="1C0837CA"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К числу таких действий относятся, например:</w:t>
      </w:r>
    </w:p>
    <w:p w14:paraId="0250FAC2"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регулярное получение подарков, даже (если речь идет не о государственном гражданском служащем) стоимостью менее 3000 рублей;</w:t>
      </w:r>
    </w:p>
    <w:p w14:paraId="77B084B1"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посещения ресторанов совместно с представителями организации, которая извлекла, извлекает или может извлечь выгоду из решений или действий (бездействия) служащего или работника.</w:t>
      </w:r>
    </w:p>
    <w:p w14:paraId="49DF7E8D"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2.2. Также действенной мерой по данному направлению может стать подготовка и распространение среди служащих и работников памяток и иных методических материалов, содержащих разъяснения по ключевым вопросам, к которым, в частности, следует отнести:</w:t>
      </w:r>
    </w:p>
    <w:p w14:paraId="1E06C88F"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1) уведомление о склонении к коррупции. В памятке следует описать порядок действий служащего или работника при склонении его к коррупционным правонарушениям;</w:t>
      </w:r>
    </w:p>
    <w:p w14:paraId="0548C78E"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2) о типовых случаях конфликтов интересов и порядок их урегулирования;</w:t>
      </w:r>
    </w:p>
    <w:p w14:paraId="541C4F80"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3) поведение, которое может быть воспринято как согласие принять взятку или как просьба о даче взятки, в которую включить описание выражений, тем для разговора, предложений и действий, указанных в подпункте 3) раздела 2 настоящего комплекса мер.</w:t>
      </w:r>
    </w:p>
    <w:p w14:paraId="5D22D530"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3. Закрепление в локальных правовых актах этических норм поведения служащих и работников, процедур и форм соблюдения служащими и работниками ограничений, запретов и обязанностей, установленных законодательством о противодействии коррупции.</w:t>
      </w:r>
    </w:p>
    <w:p w14:paraId="1C597DAA"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При организации мероприятий по обозначенному направлению следует обратить внимание на необходимость своевременной регламентации локальными правовыми актами процедур и форм соблюдения служащими и работниками требований к служебному поведению.</w:t>
      </w:r>
    </w:p>
    <w:p w14:paraId="30369376"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На начальном этапе разработки акта рекомендуется обеспечить информирование государственных (муниципальных) служащих о возможности участия в его подготовке. Для обсуждения полученных замечаний и предложений служащих или работников по проекту локального правового акта при необходимости проводить рабочую встречу с работниками или служащими.</w:t>
      </w:r>
    </w:p>
    <w:p w14:paraId="38C3F241"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В отношении принятых внутренних правовых актов рекомендуется не реже одного раза в год проводить обсуждения практики применения локальных правовых актов со служащими и работниками органа государственной власти, местного самоуправления, государственного внебюджетного фонда и организации. В ходе встречи предлагается обсуждать, прежде всего, те трудности, с которыми служащие и работники сталкиваются на практике при реализации тех или иных положений правовых актов (представление сведений о доходах, об имуществе и обязательствах имущественного характера; определение наличия личной заинтересованности, которая приводит или может привести к конфликту интересов, и т.д.). По итогам указанных обсуждений следует актуализировать положения локальных правовых актов.</w:t>
      </w:r>
    </w:p>
    <w:p w14:paraId="50318007"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К вопросам, которые необходимо регламентировать локальными правовыми актами, в частности следует отнести вопрос о порядке уведомления представителя нанимателя (работодателя) о фактах склонения к коррупционным правонарушениям.</w:t>
      </w:r>
    </w:p>
    <w:p w14:paraId="16097346"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При разработке указанного акта о порядке уведомления о фактах склонения служащего или работника к совершению коррупционного правонарушения уделить особое внимание механизмам защиты заявителей. Наличие эффективных механизмов защиты будет стимулировать служащих и работников не только отказываться от предложений взятки, но и сообщать о лицах, ее предложивших.</w:t>
      </w:r>
    </w:p>
    <w:p w14:paraId="0397F909"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В связи с этим необходимо, в частности:</w:t>
      </w:r>
    </w:p>
    <w:p w14:paraId="78396F03"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 закрепить требования о конфиденциальности информации о личности заявителя;</w:t>
      </w:r>
    </w:p>
    <w:p w14:paraId="4E64AE64"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 установить режим доступа к журналу входящей корреспонденции, содержащему данные, позволяющие идентифицировать личность заявителя;</w:t>
      </w:r>
    </w:p>
    <w:p w14:paraId="0783062D"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 включить в этический кодекс государственного органа, государственного внебюджетного фонда и организации положение о том, что служащие и работники должны воздерживаться от поведения (высказываний, жестов, действий), которое может быть воспринято окружающими как согласие принять взятку или как просьба о даче взятки.</w:t>
      </w:r>
    </w:p>
    <w:p w14:paraId="4890A9A4"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4. Обеспечение открытости деятельности органов государственной власти, местного самоуправления, государственных внебюджетных фондов и иных организаций, включая внедрение мер общественного контроля.</w:t>
      </w:r>
    </w:p>
    <w:p w14:paraId="70C8C261"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В число мер по реализации данного направления необходимо включить следующие.</w:t>
      </w:r>
    </w:p>
    <w:p w14:paraId="60D60038"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Разместить в местах предоставления государственных услуг и в иных служебных помещениях, где на регулярной основе осуществляется взаимодействие граждан с организациями, объявления (плакаты), указывающие на то, что:</w:t>
      </w:r>
    </w:p>
    <w:p w14:paraId="0CD33D49"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дача взятки должностному лицу наказывается лишением свободы;</w:t>
      </w:r>
    </w:p>
    <w:p w14:paraId="1EE2E44D"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предложение должностному лицу денег или имущества, а также выгод или услуг имущественного характера могут быть истолкованы как покушение на дачу взятки;</w:t>
      </w:r>
    </w:p>
    <w:p w14:paraId="015D1C18"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государственному служащему запрещается принимать подарки в связи с исполнением служебных обязанностей вне зависимости от стоимости подарка.</w:t>
      </w:r>
    </w:p>
    <w:p w14:paraId="6C0B6815"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Разместить на официальном сайте государственного органа, государственного внебюджетного фонда и организации, распространить в электронной и в печатной форме памятки и иные методические материалы для служащих и работников.</w:t>
      </w:r>
    </w:p>
    <w:p w14:paraId="0CA4E3A5"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Обеспечить возможности для граждан и организаций беспрепятственно направлять свои обращения в федеральный государственный орган (информация о работе "горячей линии", "телефона доверия", отправке почтовых сообщений, форма по отправке сообщений граждан и организаций через официальный сайт). Обращение гражданина может быть составлено в виде электронного документа и подписано электронной подписью.</w:t>
      </w:r>
    </w:p>
    <w:p w14:paraId="2CBDF341"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color w:val="000000"/>
          <w:sz w:val="20"/>
          <w:szCs w:val="20"/>
        </w:rPr>
        <w:t>Оборудовать места предоставления государственных услуг средствами, позволяющими избежать проявлений служащими и работниками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p w14:paraId="0E29D4F1"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b/>
          <w:bCs/>
          <w:color w:val="000000"/>
          <w:sz w:val="20"/>
          <w:szCs w:val="20"/>
        </w:rPr>
        <w:t>Название:</w:t>
      </w:r>
      <w:r>
        <w:rPr>
          <w:rFonts w:ascii="Arial" w:hAnsi="Arial" w:cs="Arial"/>
          <w:color w:val="000000"/>
          <w:sz w:val="20"/>
          <w:szCs w:val="20"/>
        </w:rPr>
        <w:t> Информация Министерства труда и социальной защиты Российской Федерации от 19 февраля 2013 года "Обзор рекомендаций по осуществлению комплекса организационных, разъяснительных и иных мер по недопущению должностными лицами поведения,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w:t>
      </w:r>
    </w:p>
    <w:p w14:paraId="75DACA3C" w14:textId="77777777" w:rsidR="00060185" w:rsidRDefault="00060185" w:rsidP="00060185">
      <w:pPr>
        <w:widowControl w:val="0"/>
        <w:autoSpaceDE w:val="0"/>
        <w:autoSpaceDN w:val="0"/>
        <w:adjustRightInd w:val="0"/>
        <w:spacing w:before="85" w:after="0" w:line="240" w:lineRule="auto"/>
        <w:ind w:firstLine="709"/>
        <w:jc w:val="both"/>
        <w:rPr>
          <w:rFonts w:ascii="Times" w:hAnsi="Times" w:cs="Times"/>
          <w:sz w:val="24"/>
          <w:szCs w:val="24"/>
        </w:rPr>
      </w:pPr>
      <w:r>
        <w:rPr>
          <w:rFonts w:ascii="Arial" w:hAnsi="Arial" w:cs="Arial"/>
          <w:b/>
          <w:bCs/>
          <w:color w:val="000000"/>
          <w:sz w:val="20"/>
          <w:szCs w:val="20"/>
        </w:rPr>
        <w:t>Дата вступления в силу:</w:t>
      </w:r>
      <w:r>
        <w:rPr>
          <w:rFonts w:ascii="Arial" w:hAnsi="Arial" w:cs="Arial"/>
          <w:color w:val="000000"/>
          <w:sz w:val="20"/>
          <w:szCs w:val="20"/>
        </w:rPr>
        <w:t> 19.02.2013</w:t>
      </w:r>
    </w:p>
    <w:p w14:paraId="658D51D6" w14:textId="77777777" w:rsidR="00060185" w:rsidRDefault="00060185" w:rsidP="00060185">
      <w:pPr>
        <w:widowControl w:val="0"/>
        <w:autoSpaceDE w:val="0"/>
        <w:autoSpaceDN w:val="0"/>
        <w:adjustRightInd w:val="0"/>
        <w:spacing w:after="0" w:line="240" w:lineRule="auto"/>
        <w:ind w:firstLine="709"/>
        <w:jc w:val="both"/>
        <w:rPr>
          <w:rFonts w:ascii="Times" w:hAnsi="Times" w:cs="Times"/>
          <w:sz w:val="24"/>
          <w:szCs w:val="24"/>
        </w:rPr>
      </w:pPr>
    </w:p>
    <w:sectPr w:rsidR="00060185" w:rsidSect="00060185">
      <w:headerReference w:type="even" r:id="rId25"/>
      <w:headerReference w:type="default" r:id="rId26"/>
      <w:footerReference w:type="even" r:id="rId27"/>
      <w:footerReference w:type="default" r:id="rId28"/>
      <w:pgSz w:w="11906" w:h="16838"/>
      <w:pgMar w:top="1814" w:right="1134" w:bottom="1814" w:left="1134" w:header="567"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F2B926" w14:textId="77777777" w:rsidR="000E2BBA" w:rsidRDefault="000E2BBA" w:rsidP="00EA422D">
      <w:pPr>
        <w:spacing w:after="0" w:line="240" w:lineRule="auto"/>
      </w:pPr>
      <w:r>
        <w:separator/>
      </w:r>
    </w:p>
  </w:endnote>
  <w:endnote w:type="continuationSeparator" w:id="0">
    <w:p w14:paraId="6DA41A06" w14:textId="77777777" w:rsidR="000E2BBA" w:rsidRDefault="000E2BBA" w:rsidP="00EA4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87598" w14:textId="77777777" w:rsidR="00060185" w:rsidRDefault="00060185">
    <w:pPr>
      <w:widowControl w:val="0"/>
      <w:autoSpaceDE w:val="0"/>
      <w:autoSpaceDN w:val="0"/>
      <w:adjustRightInd w:val="0"/>
      <w:spacing w:before="113" w:after="0" w:line="240" w:lineRule="auto"/>
      <w:rPr>
        <w:rFonts w:ascii="Times" w:hAnsi="Times" w:cs="Times"/>
        <w:sz w:val="24"/>
        <w:szCs w:val="24"/>
      </w:rPr>
    </w:pPr>
    <w:r>
      <w:rPr>
        <w:rFonts w:ascii="Arial" w:hAnsi="Arial" w:cs="Arial"/>
        <w:b/>
        <w:bCs/>
        <w:i/>
        <w:iCs/>
        <w:color w:val="000000"/>
        <w:sz w:val="20"/>
        <w:szCs w:val="20"/>
      </w:rPr>
      <w:t>©2014 МЦФЭР. Все права защищены.</w:t>
    </w:r>
  </w:p>
  <w:p w14:paraId="46C41D43" w14:textId="77777777" w:rsidR="00060185" w:rsidRDefault="00060185">
    <w:pPr>
      <w:widowControl w:val="0"/>
      <w:autoSpaceDE w:val="0"/>
      <w:autoSpaceDN w:val="0"/>
      <w:adjustRightInd w:val="0"/>
      <w:spacing w:after="0" w:line="240" w:lineRule="auto"/>
      <w:jc w:val="center"/>
      <w:rPr>
        <w:rFonts w:ascii="Times" w:hAnsi="Times" w:cs="Times"/>
        <w:sz w:val="24"/>
        <w:szCs w:val="24"/>
      </w:rPr>
    </w:pPr>
    <w:r>
      <w:rPr>
        <w:rFonts w:ascii="Arial" w:hAnsi="Arial" w:cs="Arial"/>
        <w:b/>
        <w:bCs/>
        <w:i/>
        <w:iCs/>
        <w:color w:val="000000"/>
        <w:sz w:val="16"/>
        <w:szCs w:val="16"/>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EE4A6" w14:textId="77777777" w:rsidR="00060185" w:rsidRDefault="00060185">
    <w:pPr>
      <w:widowControl w:val="0"/>
      <w:autoSpaceDE w:val="0"/>
      <w:autoSpaceDN w:val="0"/>
      <w:adjustRightInd w:val="0"/>
      <w:spacing w:before="113" w:after="0" w:line="240" w:lineRule="auto"/>
      <w:rPr>
        <w:rFonts w:ascii="Times" w:hAnsi="Times" w:cs="Times"/>
        <w:sz w:val="24"/>
        <w:szCs w:val="24"/>
      </w:rPr>
    </w:pPr>
    <w:r>
      <w:rPr>
        <w:rFonts w:ascii="Arial" w:hAnsi="Arial" w:cs="Arial"/>
        <w:b/>
        <w:bCs/>
        <w:i/>
        <w:iCs/>
        <w:color w:val="000000"/>
        <w:sz w:val="20"/>
        <w:szCs w:val="20"/>
      </w:rPr>
      <w:t>©2014 МЦФЭР. Все права защищены.</w:t>
    </w:r>
  </w:p>
  <w:p w14:paraId="65E690FD" w14:textId="77777777" w:rsidR="00060185" w:rsidRDefault="00060185">
    <w:pPr>
      <w:widowControl w:val="0"/>
      <w:autoSpaceDE w:val="0"/>
      <w:autoSpaceDN w:val="0"/>
      <w:adjustRightInd w:val="0"/>
      <w:spacing w:after="0" w:line="240" w:lineRule="auto"/>
      <w:jc w:val="center"/>
      <w:rPr>
        <w:rFonts w:ascii="Times" w:hAnsi="Times" w:cs="Times"/>
        <w:sz w:val="24"/>
        <w:szCs w:val="24"/>
      </w:rPr>
    </w:pPr>
    <w:r>
      <w:rPr>
        <w:rFonts w:ascii="Arial" w:hAnsi="Arial" w:cs="Arial"/>
        <w:b/>
        <w:bCs/>
        <w:i/>
        <w:iCs/>
        <w:color w:val="000000"/>
        <w:sz w:val="16"/>
        <w:szCs w:val="16"/>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BC9A5" w14:textId="77777777" w:rsidR="000E2BBA" w:rsidRDefault="000E2BBA" w:rsidP="00EA422D">
      <w:pPr>
        <w:spacing w:after="0" w:line="240" w:lineRule="auto"/>
      </w:pPr>
      <w:r>
        <w:separator/>
      </w:r>
    </w:p>
  </w:footnote>
  <w:footnote w:type="continuationSeparator" w:id="0">
    <w:p w14:paraId="07131715" w14:textId="77777777" w:rsidR="000E2BBA" w:rsidRDefault="000E2BBA" w:rsidP="00EA42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38ABB" w14:textId="77777777" w:rsidR="00060185" w:rsidRDefault="00060185">
    <w:pPr>
      <w:widowControl w:val="0"/>
      <w:autoSpaceDE w:val="0"/>
      <w:autoSpaceDN w:val="0"/>
      <w:adjustRightInd w:val="0"/>
      <w:spacing w:after="0" w:line="240" w:lineRule="auto"/>
      <w:rPr>
        <w:rFonts w:ascii="Times" w:hAnsi="Times" w:cs="Times"/>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5E800" w14:textId="77777777" w:rsidR="00060185" w:rsidRDefault="00060185">
    <w:pPr>
      <w:widowControl w:val="0"/>
      <w:autoSpaceDE w:val="0"/>
      <w:autoSpaceDN w:val="0"/>
      <w:adjustRightInd w:val="0"/>
      <w:spacing w:after="0" w:line="240" w:lineRule="auto"/>
      <w:rPr>
        <w:rFonts w:ascii="Times" w:hAnsi="Times" w:cs="Times"/>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bordersDoNotSurroundHeader/>
  <w:bordersDoNotSurroundFooter/>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6D1"/>
    <w:rsid w:val="00060185"/>
    <w:rsid w:val="000E2BBA"/>
    <w:rsid w:val="002266D1"/>
    <w:rsid w:val="0085605B"/>
    <w:rsid w:val="00EA42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BF35ED"/>
  <w14:defaultImageDpi w14:val="0"/>
  <w15:docId w15:val="{574AE080-E0AB-4E5E-A56B-2538710E9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esource.e-mcfr.ru/scion/citation/pit/MCFR100329%235015/MCFRLINK?cfu=default&amp;cpid=edu&amp;uAppCtx=RWI" TargetMode="External"/><Relationship Id="rId13" Type="http://schemas.openxmlformats.org/officeDocument/2006/relationships/hyperlink" Target="http://resource.e-mcfr.ru/scion/citation/pit/MCFR100329%235015/MCFRLINK?cfu=default&amp;cpid=edu&amp;uAppCtx=RWI" TargetMode="External"/><Relationship Id="rId18" Type="http://schemas.openxmlformats.org/officeDocument/2006/relationships/hyperlink" Target="http://resource.e-mcfr.ru/scion/citation/pit/MCFR100828/MCFRLINK?cfu=default&amp;cpid=edu&amp;uAppCtx=RWI" TargetMode="External"/><Relationship Id="rId26" Type="http://schemas.openxmlformats.org/officeDocument/2006/relationships/header" Target="header2.xml"/><Relationship Id="rId3" Type="http://schemas.openxmlformats.org/officeDocument/2006/relationships/webSettings" Target="webSettings.xml"/><Relationship Id="rId21" Type="http://schemas.openxmlformats.org/officeDocument/2006/relationships/hyperlink" Target="http://resource.e-mcfr.ru/scion/citation/pit/MCFR100329%233978/MCFRLINK?cfu=default&amp;cpid=edu&amp;uAppCtx=RWI" TargetMode="External"/><Relationship Id="rId7" Type="http://schemas.openxmlformats.org/officeDocument/2006/relationships/hyperlink" Target="http://resource.e-mcfr.ru/scion/citation/pit/MCFR100329/MCFRLINK?cfu=default&amp;cpid=edu&amp;uAppCtx=RWI" TargetMode="External"/><Relationship Id="rId12" Type="http://schemas.openxmlformats.org/officeDocument/2006/relationships/hyperlink" Target="http://resource.e-mcfr.ru/scion/citation/pit/MCFR100329%234003/MCFRLINK?cfu=default&amp;cpid=edu&amp;uAppCtx=RWI" TargetMode="External"/><Relationship Id="rId17" Type="http://schemas.openxmlformats.org/officeDocument/2006/relationships/hyperlink" Target="http://resource.e-mcfr.ru/scion/citation/pit/MCFR100371%234090/MCFRLINK?cfu=default&amp;cpid=edu&amp;uAppCtx=RWI" TargetMode="External"/><Relationship Id="rId25"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resource.e-mcfr.ru/scion/citation/pit/MCFR100371/MCFRLINK?cfu=default&amp;cpid=edu&amp;uAppCtx=RWI" TargetMode="External"/><Relationship Id="rId20" Type="http://schemas.openxmlformats.org/officeDocument/2006/relationships/hyperlink" Target="http://resource.e-mcfr.ru/scion/citation/pit/MCFR100329%23756/MCFRLINK?cfu=default&amp;cpid=edu&amp;uAppCtx=RWI"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resource.e-mcfr.ru/scion/citation/pit/MCFR100329/MCFRLINK?cfu=default&amp;cpid=edu&amp;uAppCtx=RWI" TargetMode="External"/><Relationship Id="rId11" Type="http://schemas.openxmlformats.org/officeDocument/2006/relationships/hyperlink" Target="http://resource.e-mcfr.ru/scion/citation/pit/MCFR100329%234003/MCFRLINK?cfu=default&amp;cpid=edu&amp;uAppCtx=RWI" TargetMode="External"/><Relationship Id="rId24" Type="http://schemas.openxmlformats.org/officeDocument/2006/relationships/hyperlink" Target="http://resource.e-mcfr.ru/scion/citation/pit/MCFR100371%234090/MCFRLINK?cfu=default&amp;cpid=edu&amp;uAppCtx=RWI" TargetMode="External"/><Relationship Id="rId5" Type="http://schemas.openxmlformats.org/officeDocument/2006/relationships/endnotes" Target="endnotes.xml"/><Relationship Id="rId15" Type="http://schemas.openxmlformats.org/officeDocument/2006/relationships/hyperlink" Target="http://resource.e-mcfr.ru/scion/citation/pit/MCFR100329%235015/MCFRLINK?cfu=default&amp;cpid=edu&amp;uAppCtx=RWI" TargetMode="External"/><Relationship Id="rId23" Type="http://schemas.openxmlformats.org/officeDocument/2006/relationships/hyperlink" Target="http://resource.e-mcfr.ru/scion/citation/pit/MCFR100329%235015/MCFRLINK?cfu=default&amp;cpid=edu&amp;uAppCtx=RWI" TargetMode="External"/><Relationship Id="rId28" Type="http://schemas.openxmlformats.org/officeDocument/2006/relationships/footer" Target="footer2.xml"/><Relationship Id="rId10" Type="http://schemas.openxmlformats.org/officeDocument/2006/relationships/hyperlink" Target="http://resource.e-mcfr.ru/scion/citation/pit/MCFR100329%233978/MCFRLINK?cfu=default&amp;cpid=edu&amp;uAppCtx=RWI" TargetMode="External"/><Relationship Id="rId19" Type="http://schemas.openxmlformats.org/officeDocument/2006/relationships/hyperlink" Target="http://resource.e-mcfr.ru/scion/citation/pit/MCFR100371%234090/MCFRLINK?cfu=default&amp;cpid=edu&amp;uAppCtx=RWI" TargetMode="External"/><Relationship Id="rId4" Type="http://schemas.openxmlformats.org/officeDocument/2006/relationships/footnotes" Target="footnotes.xml"/><Relationship Id="rId9" Type="http://schemas.openxmlformats.org/officeDocument/2006/relationships/hyperlink" Target="http://resource.e-mcfr.ru/scion/citation/pit/MCFR100329%232736/MCFRLINK?cfu=default&amp;cpid=edu&amp;uAppCtx=RWI" TargetMode="External"/><Relationship Id="rId14" Type="http://schemas.openxmlformats.org/officeDocument/2006/relationships/hyperlink" Target="http://resource.e-mcfr.ru/scion/citation/pit/MCFR100329%235031/MCFRLINK?cfu=default&amp;cpid=edu&amp;uAppCtx=RWI" TargetMode="External"/><Relationship Id="rId22" Type="http://schemas.openxmlformats.org/officeDocument/2006/relationships/hyperlink" Target="http://resource.e-mcfr.ru/scion/citation/pit/MCFR100329%234003/MCFRLINK?cfu=default&amp;cpid=edu&amp;uAppCtx=RWI"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4358</Words>
  <Characters>24843</Characters>
  <Application>Microsoft Office Word</Application>
  <DocSecurity>0</DocSecurity>
  <Lines>207</Lines>
  <Paragraphs>58</Paragraphs>
  <ScaleCrop>false</ScaleCrop>
  <Company>Reanimator Extreme Edition</Company>
  <LinksUpToDate>false</LinksUpToDate>
  <CharactersWithSpaces>29143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Светличная</dc:creator>
  <cp:keywords/>
  <dc:description/>
  <cp:lastModifiedBy>Рахматулина Елена Сергеевна</cp:lastModifiedBy>
  <cp:revision>2</cp:revision>
  <cp:lastPrinted>2014-09-16T02:48:00Z</cp:lastPrinted>
  <dcterms:created xsi:type="dcterms:W3CDTF">2025-12-04T04:44:00Z</dcterms:created>
  <dcterms:modified xsi:type="dcterms:W3CDTF">2025-12-04T04:44:00Z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XMLmind FO Converter</vt:lpwstr>
  </property>
</Properties>
</file>